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6B51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Arial" w:eastAsia="Times New Roman" w:hAnsi="Arial" w:cs="Arial"/>
          <w:noProof/>
          <w:color w:val="555555"/>
          <w:kern w:val="0"/>
          <w:sz w:val="27"/>
          <w:szCs w:val="27"/>
          <w:lang w:eastAsia="nl-NL"/>
          <w14:ligatures w14:val="none"/>
        </w:rPr>
        <w:drawing>
          <wp:inline distT="0" distB="0" distL="0" distR="0" wp14:anchorId="1507A001" wp14:editId="287BD0CF">
            <wp:extent cx="5537200" cy="3504009"/>
            <wp:effectExtent l="0" t="0" r="6350" b="1270"/>
            <wp:docPr id="3" name="Afbeelding 3" descr="Afbeelding met perso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90" cy="351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>beim</w:t>
      </w:r>
      <w:proofErr w:type="spellEnd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>Ausrufen</w:t>
      </w:r>
      <w:proofErr w:type="spellEnd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>Kriegsrechts</w:t>
      </w:r>
      <w:proofErr w:type="spellEnd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 xml:space="preserve"> 1981</w:t>
      </w:r>
    </w:p>
    <w:p w14:paraId="5E93E7AA" w14:textId="77777777" w:rsidR="006411BE" w:rsidRDefault="006411BE" w:rsidP="006411BE">
      <w:pPr>
        <w:shd w:val="clear" w:color="auto" w:fill="FFFFFF"/>
        <w:spacing w:after="264"/>
        <w:textAlignment w:val="baseline"/>
        <w:rPr>
          <w:rFonts w:ascii="inherit" w:eastAsia="Times New Roman" w:hAnsi="inherit" w:cs="Arial"/>
          <w:caps/>
          <w:color w:val="999999"/>
          <w:spacing w:val="15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</w:p>
    <w:p w14:paraId="7792F968" w14:textId="224B0D83" w:rsidR="006411BE" w:rsidRPr="006411BE" w:rsidRDefault="006411BE" w:rsidP="006411BE">
      <w:pPr>
        <w:shd w:val="clear" w:color="auto" w:fill="FFFFFF"/>
        <w:spacing w:after="264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Wojciech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entstammt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Kleinadel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katholisch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erzogen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r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Juli 1943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schloss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Streitkräften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Sowjetunion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5C771147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Als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Offizier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kämpfte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unter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Zygmunt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Berling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Zweiten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Weltkrieg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erreichte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Januar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1945 Warschau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sowie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Juni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desselben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 Berlin.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Kapitulation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"https://dietrommlerarchiv.wordpress.com/2019/04/18/faschismus/"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faschistischen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Wehrmacht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erlebte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in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Nauen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anschließend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jedoch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zurück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Polen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beordert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bei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Niederschlagung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Ukrainischen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Aufständischen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Armee </w:t>
      </w:r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(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Diese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kollaborierte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mit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dem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instrText xml:space="preserve"> HYPERLINK "https://dietrommlerarchiv.wordpress.com/2019/04/18/faschismus/" </w:instrText>
      </w:r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faschistischen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i/>
          <w:iCs/>
          <w:color w:val="555555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 Deutschland)</w: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eingesetzt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militärische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Ausbildung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vervollständigen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1947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Infanteriehochschule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sowie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Generalstabsakademie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eingeschrieben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Dort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verpflichtete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als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Zuträger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Militärgeheimdienstes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hyperlink r:id="rId5" w:anchor="cite_note-Urban-2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vertAlign w:val="superscript"/>
            <w:lang w:eastAsia="nl-NL"/>
            <w14:ligatures w14:val="none"/>
          </w:rPr>
          <w:t>[2]</w:t>
        </w:r>
      </w:hyperlink>
    </w:p>
    <w:p w14:paraId="5EDEAC6E" w14:textId="77777777" w:rsidR="006411BE" w:rsidRPr="006411BE" w:rsidRDefault="006411BE" w:rsidP="006411BE">
      <w:pPr>
        <w:shd w:val="clear" w:color="auto" w:fill="FFFFFF"/>
        <w:spacing w:after="264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Wojciech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trat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1947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Vereinigten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Arbeiterpartei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(RZPR),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Nachfolgepartei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Kommunistischen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Partei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, bei.</w:t>
      </w:r>
    </w:p>
    <w:p w14:paraId="1F89D76C" w14:textId="77777777" w:rsidR="006411BE" w:rsidRPr="006411BE" w:rsidRDefault="006411BE" w:rsidP="006411BE">
      <w:pPr>
        <w:shd w:val="clear" w:color="auto" w:fill="FFFFFF"/>
        <w:spacing w:after="264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1956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jüngsten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General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befördert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061A0D73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1964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Mitglied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"https://dietrommlerarchiv.wordpress.com/2016/07/03/das-zentralkomitee-von-kommunistischen-parteien/"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Zentralkomitees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 der PZPR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1968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Wladyslaw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Gomulka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Verteidigungsminister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ernannt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3082A5A2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Ebenfalls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1968 war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Niederschlagung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</w:t>
      </w:r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März-Unruhen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bereits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damals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Krise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Polen,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beteiligt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Dazu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nächsten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Ausgabe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TROMMLER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mehr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1F18FBD0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lastRenderedPageBreak/>
        <w:t>Außerdem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1968 war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Einmarsch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"https://kalterkriegundentspannungspolitik.wordpress.com/2017/03/10/warschauer-vertrag/"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Warschauer</w:t>
      </w:r>
      <w:proofErr w:type="spellEnd"/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Vertragsstaaten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Prag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führend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beteiligt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"https://dietrommlerarchiv.wordpress.com/2016/09/02/die-versuchte-konterrevolution-in-der-cssr-1968/"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versuchte</w:t>
      </w:r>
      <w:proofErr w:type="spellEnd"/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Konterrevolution</w:t>
      </w:r>
      <w:proofErr w:type="spellEnd"/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 xml:space="preserve"> in der CSSR</w: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niederzuschlagen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1C812ABD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Am 11.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Februar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1981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Wojciech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Ministerpräsident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Polens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18. Oktober 1981, als </w:t>
      </w:r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Stanislaw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Kania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Kritik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seiner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Parteiführung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während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Tagung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</w:t>
      </w:r>
      <w:hyperlink r:id="rId6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 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Zentralkomitees</w:t>
        </w:r>
        <w:proofErr w:type="spellEnd"/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zurückgetreten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war, dessen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Nachfolger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als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Erster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Sekretär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PZPR. </w:t>
      </w:r>
    </w:p>
    <w:p w14:paraId="225155C6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Am 13.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Dezember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1981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verhängte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das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Kriegsrecht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das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konterrevolutionäre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Treiben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"https://dietrommlerinternetzeitschrift.com/2023/02/21/solidarnosc/"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Solidarnosc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beenden. 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Zwar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konnte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Konterrevolution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zunächst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stoppen,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ihm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gelang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nur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Zeitgewinn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einigen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255460DA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Die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"https://dietrommlerinternetzeitschrift.com/2023/02/21/solidarnosc/"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Solidarnosc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 war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weiterhin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Untergrund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aktiv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31144F75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blieb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bis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6. November 1985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Ministerpräsident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Polens;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folgte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ihm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Zbigniew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Messner</w: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In den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1985 bis 1989 war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Staatsratsvorsitzender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7339012F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Streikwelle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Verhandlungen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„Runden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Tisch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“</w: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(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mehr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dazu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nächsten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Ausgabe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TROMMLER),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April 1989 die</w:t>
      </w:r>
      <w:hyperlink r:id="rId7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 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Solidarnosc</w:t>
        </w:r>
        <w:proofErr w:type="spellEnd"/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 wieder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legalisiert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gewann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04. Juni 1989 bei den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teilweise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bürgerlichen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Wahlen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maximal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zugestandenen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Plätze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6CEF656D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Aufgrund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 „Runden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Tisch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“</w: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erzielten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Kompromisses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war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Wojciech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Juli 1989 bis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Dezember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1990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Staatspräsident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Bei seiner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Wahl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19. Juli 1989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erhielt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lediglich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Stimme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mehr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als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geforderte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Mehrheit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37130274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Verlaufe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Konterrevolution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längst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eingeknickt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drängte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"https://kalterkriegundentspannungspolitik.wordpress.com/2018/05/27/michail-gorbatschow/"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 xml:space="preserve"> Michail </w:t>
      </w:r>
      <w:proofErr w:type="spellStart"/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Gorbatschow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dazu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einzugestehen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dass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Massaker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Katyn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Sowjets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Täter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seien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Zuvor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hatte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gegensätzliche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Position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vertreten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nämlich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dass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deutsche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Faschisten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Täter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waren.</w:t>
      </w:r>
      <w:hyperlink r:id="rId8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 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Beiträge</w:t>
        </w:r>
        <w:proofErr w:type="spellEnd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 xml:space="preserve"> 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zum</w:t>
        </w:r>
        <w:proofErr w:type="spellEnd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 xml:space="preserve"> Thema 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Katyn</w:t>
        </w:r>
        <w:proofErr w:type="spellEnd"/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siehe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befreundeten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Blog</w:t>
      </w:r>
      <w:hyperlink r:id="rId9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 „Sascha’s Welt“</w:t>
        </w:r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6F51FFB8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Lech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Walesa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Dezember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1990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Amtsnachfolger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als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Staatspräsident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37CC1F0B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,</w:t>
      </w:r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Czesław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Kiszczak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(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damals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Leiter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militärischen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Sicherheitsdienstes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), 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Stanisław</w:t>
      </w:r>
      <w:proofErr w:type="spellEnd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FF00FF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Kania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(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ehemaliger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Generalsekretär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Zentralkomitees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PZPR)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sechs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andere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damals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Verantwortliche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Militärrats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Nationalen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Errettung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17. April 2007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Bezirksgericht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Warschau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Verfahren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eröffnet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Staatsanwälte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für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Aufarbeitung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"https://dietrommlerarchiv.wordpress.com/2019/04/18/faschismus/"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faschistischer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kommunistischer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Verbrechen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begin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instrText xml:space="preserve"> HYPERLINK "https://kalterkriegundentspannungspolitik.wordpress.com/2016/01/13/rot-faschismus-auch-linker-bzw-linksfaschismus-bzw-rot-lackierte-nazis/" </w:instrTex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separate"/>
      </w:r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(hier wieder die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Gleichsetzung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Sozialismus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/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Kommunismus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>Faschismus</w:t>
      </w:r>
      <w:proofErr w:type="spellEnd"/>
      <w:r w:rsidRPr="006411BE">
        <w:rPr>
          <w:rFonts w:ascii="Times New Roman" w:eastAsia="Times New Roman" w:hAnsi="Times New Roman" w:cs="Times New Roman"/>
          <w:i/>
          <w:iCs/>
          <w:color w:val="036564"/>
          <w:kern w:val="0"/>
          <w:sz w:val="27"/>
          <w:szCs w:val="27"/>
          <w:bdr w:val="none" w:sz="0" w:space="0" w:color="auto" w:frame="1"/>
          <w:lang w:eastAsia="nl-NL"/>
          <w14:ligatures w14:val="none"/>
        </w:rPr>
        <w:t xml:space="preserve"> P.R.)</w:t>
      </w:r>
      <w:r w:rsidRPr="006411BE">
        <w:rPr>
          <w:rFonts w:ascii="Times New Roman" w:eastAsia="Times New Roman" w:hAnsi="Times New Roman" w:cs="Times New Roman"/>
          <w:color w:val="036564"/>
          <w:kern w:val="0"/>
          <w:sz w:val="27"/>
          <w:szCs w:val="27"/>
          <w:u w:val="single"/>
          <w:bdr w:val="none" w:sz="0" w:space="0" w:color="auto" w:frame="1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fldChar w:fldCharType="end"/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zuständigen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Instituts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für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Nationales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Gedenken (IPN) in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Kattowitz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hatten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zuvor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zweieinhalb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lang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Angeklagten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ermittelt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31.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März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2006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Anklage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wegen „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kommunistischer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Verbrechen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“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erhoben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hyperlink r:id="rId10" w:anchor="cite_note-8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[8]</w:t>
        </w:r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13.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Dezember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1981 das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Kriegsrecht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verhängt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hatte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drohte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Falle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Verurteilung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wegen „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Leitung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verbrecherischen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Organisation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“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Haftstrafe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bis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zu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zehn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hyperlink r:id="rId11" w:anchor="cite_note-welt07-9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[9]</w:t>
        </w:r>
      </w:hyperlink>
      <w:hyperlink r:id="rId12" w:anchor="cite_note-zeit07-10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[10]</w:t>
        </w:r>
      </w:hyperlink>
    </w:p>
    <w:p w14:paraId="2CCFC3BC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November 1997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bekannt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dass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Wojciech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Ausrufung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Kriegsrechts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1981 bei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Sowjetunion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militärisches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Eingreifen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Notfall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gebeten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hatte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hyperlink r:id="rId13" w:anchor="cite_note-dudek09-11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[11]</w:t>
        </w:r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Dezember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2009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erneut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thematisiert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weil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lastRenderedPageBreak/>
        <w:t>es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Hochverrat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hätte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bedeuten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wichtige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Rolle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seit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September 2008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laufenden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Gerichtsverfahren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gegen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in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Verantwortung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Kriegsrechtsverbrechen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geklärt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werden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sollte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spielen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können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hyperlink r:id="rId14" w:anchor="cite_note-tvn09-12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[12]</w:t>
        </w:r>
      </w:hyperlink>
    </w:p>
    <w:p w14:paraId="3994DBDD" w14:textId="77777777" w:rsidR="006411BE" w:rsidRPr="006411BE" w:rsidRDefault="006411BE" w:rsidP="006411BE">
      <w:pPr>
        <w:shd w:val="clear" w:color="auto" w:fill="FFFFFF"/>
        <w:spacing w:after="264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Konterrevolution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Polen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gab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Debatte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über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Gründe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für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Verhängung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Kriegsrechts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Polen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Jahre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1981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Rolle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dabei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Weiteren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über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Gründe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Einknickens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Verlaufe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Konterrevolution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diskutiert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1EC37B96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entschuldigte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sich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August 2005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während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öffentlichen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Diskussionsrunde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in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Prag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für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die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Beteiligung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polnischen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Streitkräfte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Niederschlagung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der</w:t>
      </w:r>
      <w:hyperlink r:id="rId15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 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versuchten</w:t>
        </w:r>
        <w:proofErr w:type="spellEnd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 xml:space="preserve"> 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Konterrevolution</w:t>
        </w:r>
        <w:proofErr w:type="spellEnd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 xml:space="preserve"> in der CSSR 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im</w:t>
        </w:r>
        <w:proofErr w:type="spellEnd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 xml:space="preserve"> </w:t>
        </w:r>
        <w:proofErr w:type="spellStart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>Jahre</w:t>
        </w:r>
        <w:proofErr w:type="spellEnd"/>
        <w:r w:rsidRPr="006411BE">
          <w:rPr>
            <w:rFonts w:ascii="Times New Roman" w:eastAsia="Times New Roman" w:hAnsi="Times New Roman" w:cs="Times New Roman"/>
            <w:color w:val="036564"/>
            <w:kern w:val="0"/>
            <w:sz w:val="27"/>
            <w:szCs w:val="27"/>
            <w:u w:val="single"/>
            <w:bdr w:val="none" w:sz="0" w:space="0" w:color="auto" w:frame="1"/>
            <w:lang w:eastAsia="nl-NL"/>
            <w14:ligatures w14:val="none"/>
          </w:rPr>
          <w:t xml:space="preserve"> 1968</w:t>
        </w:r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</w:p>
    <w:p w14:paraId="4C68FC36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</w:pP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Februar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2008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bekannt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dass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erkrankt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war. Wegen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schweren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Lungenentzündung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und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Herzproblemen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er in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einem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Warschauer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Militärkrankenhaus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behandelt.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März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2011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wurde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bei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ihm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Lymphom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diagnostiziert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Jaruzelski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starb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25. Mai 2014,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wenige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Wochen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vor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seinem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91.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Geburtstag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, in Warschau.</w:t>
      </w:r>
      <w:hyperlink r:id="rId16" w:anchor="cite_note-13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[13]</w:t>
        </w:r>
      </w:hyperlink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Nach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seiner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Einäscherung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fand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das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Begräbnis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seiner Urne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30. Mai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auf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dem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Warschauer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Powązki-Friedhof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 </w:t>
      </w:r>
      <w:proofErr w:type="spellStart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statt</w:t>
      </w:r>
      <w:proofErr w:type="spellEnd"/>
      <w:r w:rsidRPr="006411BE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nl-NL"/>
          <w14:ligatures w14:val="none"/>
        </w:rPr>
        <w:t>.</w:t>
      </w:r>
      <w:hyperlink r:id="rId17" w:anchor="cite_note-WP2014-14" w:history="1">
        <w:r w:rsidRPr="006411BE">
          <w:rPr>
            <w:rFonts w:ascii="Times New Roman" w:eastAsia="Times New Roman" w:hAnsi="Times New Roman" w:cs="Times New Roman"/>
            <w:color w:val="036564"/>
            <w:kern w:val="0"/>
            <w:sz w:val="20"/>
            <w:szCs w:val="20"/>
            <w:u w:val="single"/>
            <w:bdr w:val="none" w:sz="0" w:space="0" w:color="auto" w:frame="1"/>
            <w:lang w:eastAsia="nl-NL"/>
            <w14:ligatures w14:val="none"/>
          </w:rPr>
          <w:t>[14]</w:t>
        </w:r>
      </w:hyperlink>
    </w:p>
    <w:p w14:paraId="72A091D5" w14:textId="77777777" w:rsidR="006411BE" w:rsidRPr="006411BE" w:rsidRDefault="006411BE" w:rsidP="006411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</w:pPr>
      <w:r w:rsidRPr="006411BE">
        <w:rPr>
          <w:rFonts w:ascii="Arial" w:eastAsia="Times New Roman" w:hAnsi="Arial" w:cs="Arial"/>
          <w:noProof/>
          <w:color w:val="555555"/>
          <w:kern w:val="0"/>
          <w:sz w:val="27"/>
          <w:szCs w:val="27"/>
          <w:lang w:eastAsia="nl-NL"/>
          <w14:ligatures w14:val="none"/>
        </w:rPr>
        <w:lastRenderedPageBreak/>
        <w:drawing>
          <wp:inline distT="0" distB="0" distL="0" distR="0" wp14:anchorId="59DD0DC7" wp14:editId="1066765E">
            <wp:extent cx="9753600" cy="6496050"/>
            <wp:effectExtent l="0" t="0" r="0" b="0"/>
            <wp:docPr id="4" name="Afbeelding 4" descr="Afbeelding met gras, buiten, boom, stoepr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gras, buiten, boom, stoepra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>Jaruzelskis</w:t>
      </w:r>
      <w:proofErr w:type="spellEnd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6411BE">
        <w:rPr>
          <w:rFonts w:ascii="Arial" w:eastAsia="Times New Roman" w:hAnsi="Arial" w:cs="Arial"/>
          <w:color w:val="555555"/>
          <w:kern w:val="0"/>
          <w:sz w:val="27"/>
          <w:szCs w:val="27"/>
          <w:lang w:eastAsia="nl-NL"/>
          <w14:ligatures w14:val="none"/>
        </w:rPr>
        <w:t>Grabstätte</w:t>
      </w:r>
      <w:proofErr w:type="spellEnd"/>
    </w:p>
    <w:p w14:paraId="70605638" w14:textId="77777777" w:rsidR="00A13ADC" w:rsidRDefault="00A13ADC"/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BE"/>
    <w:rsid w:val="006411BE"/>
    <w:rsid w:val="00A13ADC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B832"/>
  <w15:chartTrackingRefBased/>
  <w15:docId w15:val="{2BFC78A9-A4CF-4D11-9624-CBCE687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cha313.wordpress.com/2016/01/22/katyn-eine-antisowjetische-faelschung/" TargetMode="External"/><Relationship Id="rId13" Type="http://schemas.openxmlformats.org/officeDocument/2006/relationships/hyperlink" Target="https://de.wikipedia.org/wiki/Wojciech_Jaruzelski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ietrommlerinternetzeitschrift.com/2023/02/21/solidarnosc/" TargetMode="External"/><Relationship Id="rId12" Type="http://schemas.openxmlformats.org/officeDocument/2006/relationships/hyperlink" Target="https://de.wikipedia.org/wiki/Wojciech_Jaruzelski" TargetMode="External"/><Relationship Id="rId17" Type="http://schemas.openxmlformats.org/officeDocument/2006/relationships/hyperlink" Target="https://de.wikipedia.org/wiki/Wojciech_Jaruzels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.wikipedia.org/wiki/Wojciech_Jaruzelsk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etrommlerarchiv.wordpress.com/2016/07/03/das-zentralkomitee-von-kommunistischen-parteien/" TargetMode="External"/><Relationship Id="rId11" Type="http://schemas.openxmlformats.org/officeDocument/2006/relationships/hyperlink" Target="https://de.wikipedia.org/wiki/Wojciech_Jaruzelski" TargetMode="External"/><Relationship Id="rId5" Type="http://schemas.openxmlformats.org/officeDocument/2006/relationships/hyperlink" Target="https://de.wikipedia.org/wiki/Wojciech_Jaruzelski" TargetMode="External"/><Relationship Id="rId15" Type="http://schemas.openxmlformats.org/officeDocument/2006/relationships/hyperlink" Target="https://dietrommlerarchiv.wordpress.com/2016/09/02/die-versuchte-konterrevolution-in-der-cssr-1968/" TargetMode="External"/><Relationship Id="rId10" Type="http://schemas.openxmlformats.org/officeDocument/2006/relationships/hyperlink" Target="https://de.wikipedia.org/wiki/Wojciech_Jaruzelski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ascha313.wordpress.com/" TargetMode="External"/><Relationship Id="rId14" Type="http://schemas.openxmlformats.org/officeDocument/2006/relationships/hyperlink" Target="https://de.wikipedia.org/wiki/Wojciech_Jaruzelsk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2023-03-10T16:05:00Z</dcterms:created>
  <dcterms:modified xsi:type="dcterms:W3CDTF">2023-03-10T16:08:00Z</dcterms:modified>
</cp:coreProperties>
</file>